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 w:beforeAutospacing="1" w:afterAutospacing="1"/>
        <w:ind w:firstLine="708"/>
        <w:jc w:val="center"/>
        <w:outlineLvl w:val="0"/>
        <w:rPr>
          <w:rFonts w:eastAsia="Times New Roman"/>
          <w:b/>
          <w:b/>
          <w:bCs/>
        </w:rPr>
      </w:pPr>
      <w:r>
        <w:rPr>
          <w:rFonts w:eastAsia="Calibri"/>
          <w:b/>
        </w:rPr>
        <w:t xml:space="preserve">Regulamin otwartego konkursu na wyłonienie Partnera spoza sektora finansów publicznych do wspólnego przygotowania i realizacji projektu </w:t>
      </w:r>
      <w:r>
        <w:rPr>
          <w:rFonts w:eastAsia="Times New Roman"/>
          <w:b/>
          <w:bCs/>
        </w:rPr>
        <w:t xml:space="preserve">współfinansowanego </w:t>
        <w:br/>
        <w:t xml:space="preserve">z środków </w:t>
      </w:r>
      <w:r>
        <w:rPr>
          <w:b/>
        </w:rPr>
        <w:t xml:space="preserve">Europejskiego Funduszu Społecznego </w:t>
        <w:br/>
        <w:t xml:space="preserve">w ramach Konkursu Nr RPLU.12.02.00-IZ.00-06-001/16 </w:t>
        <w:br/>
        <w:t>Oś Priorytetowa 12 „Edukacja, kwalifikacje i kompetencje” RPO WL na lata 2014-2020 Działanie 12.2. „Kształcenie Ogólne”</w:t>
      </w:r>
      <w:r>
        <w:rPr>
          <w:rFonts w:eastAsia="Times New Roman"/>
          <w:b/>
          <w:bCs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360" w:beforeAutospacing="1" w:afterAutospacing="1"/>
        <w:ind w:firstLine="708"/>
        <w:jc w:val="both"/>
        <w:outlineLvl w:val="0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360" w:beforeAutospacing="1" w:afterAutospacing="1"/>
        <w:ind w:firstLine="708"/>
        <w:jc w:val="both"/>
        <w:outlineLvl w:val="0"/>
        <w:rPr>
          <w:b/>
          <w:b/>
        </w:rPr>
      </w:pPr>
      <w:r>
        <w:rPr>
          <w:rFonts w:eastAsia="Times New Roman"/>
          <w:b/>
          <w:bCs/>
        </w:rPr>
        <w:t xml:space="preserve">Wójt Gminy Jastków </w:t>
      </w:r>
      <w:r>
        <w:rPr>
          <w:b/>
        </w:rPr>
        <w:t xml:space="preserve">na podstawie Art. 33 Ustawy z dnia 11 lipca 2014r </w:t>
      </w:r>
      <w:r>
        <w:rPr>
          <w:b/>
          <w:i/>
        </w:rPr>
        <w:t>o zasadach realizacji programów w zakresie polityki spójności finansowanych w perspektywie finansowej 2014 -2020</w:t>
      </w:r>
      <w:r>
        <w:rPr>
          <w:b/>
        </w:rPr>
        <w:t xml:space="preserve"> </w:t>
      </w:r>
      <w:r>
        <w:rPr>
          <w:b/>
          <w:i/>
        </w:rPr>
        <w:t>(Dz. U. 2016.2017 z dnia 2016.02.22)</w:t>
      </w:r>
      <w:r>
        <w:rPr>
          <w:b/>
        </w:rPr>
        <w:t xml:space="preserve"> jako Lider ogłasza otwarty nabór na wyłonienie Partnera spoza sektora finansów publicznych do wspólnego przygotowania i realizacji projektu stanowiącego odpowiedź na ogłoszony przez Zarząd Województwa Lubelskiego – Instytucja Zarządzająca Regionalnym Programem Operacyjnym Województwa Lubelskiego na lata 2014 – 2020 Departament Wdrażania Europejskiego Funduszu Społecznego Konkurs Nr RPLU.12.02.00-IZ.00-06-001/16 Oś priorytetowa 12 </w:t>
      </w:r>
      <w:r>
        <w:rPr>
          <w:b/>
          <w:i/>
        </w:rPr>
        <w:t>Edukacja, kwalifikacje i kompetencje Regionalnego Programu Operacyjnego Województwa Lubelskiego na lata 2014 – 2020</w:t>
      </w:r>
      <w:r>
        <w:rPr>
          <w:b/>
        </w:rPr>
        <w:t xml:space="preserve">, Priorytet Inwestycyjny 10i </w:t>
      </w:r>
      <w:r>
        <w:rPr>
          <w:b/>
          <w:i/>
        </w:rPr>
        <w:t>Ograniczenie i zapobieganie przedwczesnemu kończeniu nauki szkolnej oraz zapewnienie równego dostępu do dobrej jakości wczesnej edukacji elementarnej oraz kształcenia podstawowego, gimnazjalnego i ponadgimnazjalnego, z uwzględnieniem formalnych, nieformalnych i pozaformalnych ścieżek kształcenia umożliwiających ponowne podjęcie kształcenia i szkolenia</w:t>
      </w:r>
      <w:r>
        <w:rPr>
          <w:b/>
        </w:rPr>
        <w:t xml:space="preserve">, Działanie 12.2. </w:t>
      </w:r>
      <w:r>
        <w:rPr>
          <w:b/>
          <w:i/>
        </w:rPr>
        <w:t xml:space="preserve">Kształcenie Ogólne </w:t>
      </w:r>
    </w:p>
    <w:p>
      <w:pPr>
        <w:pStyle w:val="Normal"/>
        <w:numPr>
          <w:ilvl w:val="0"/>
          <w:numId w:val="0"/>
        </w:numPr>
        <w:spacing w:beforeAutospacing="1" w:afterAutospacing="1"/>
        <w:jc w:val="both"/>
        <w:outlineLvl w:val="0"/>
        <w:rPr/>
      </w:pPr>
      <w:r>
        <w:rPr/>
        <w:t xml:space="preserve">Informacje  o  konkursie  wraz  z  regulaminem  konkursu  zamieszczone  są  na  stronie </w:t>
      </w:r>
      <w:r>
        <w:rPr>
          <w:highlight w:val="yellow"/>
        </w:rPr>
        <w:t>http://jastkow.pl/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567" w:hanging="567"/>
        <w:contextualSpacing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OGÓLNE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567" w:hanging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 PARTNETSRWA 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993" w:hanging="0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Celem partnerstwa jest wspólne przygotowanie wniosku projektowego i realizacja części zadań służących celowi głównemu Działania 12.2, </w:t>
      </w:r>
      <w:r>
        <w:rPr>
          <w:rFonts w:eastAsia="Times New Roman" w:ascii="Times New Roman" w:hAnsi="Times New Roman"/>
          <w:i/>
          <w:sz w:val="24"/>
          <w:szCs w:val="24"/>
          <w:lang w:eastAsia="pl-PL"/>
        </w:rPr>
        <w:t xml:space="preserve">którym jest zwiększenie dostępu do dobrej jakości kształcenia ogólnego w szczególności poprzez organizację zajęć przyczyniających się do rozwoju kompetencji kluczowych na rynku pracy oraz właściwych postaw (kreatywność, innowacyjność oraz praca zespołowa), jak również tworzenie w szkołach warunków nauczania eksperymentalnego </w:t>
        <w:br/>
        <w:t xml:space="preserve">i indywidualizację pracy z uczniem o specjalnych potrzebach edukacyjnych. Podniesienie jakości usług edukacyjnych związane jest z zapewnieniem dzieciom </w:t>
        <w:br/>
        <w:t xml:space="preserve">i młodzieży, w tym w szczególności dzieciom i młodzieży niepełnosprawnym, warunków kształcenia odpowiednio do rozpoznanych indywidualnych potrzeb rozwojowych i edukacyjnych oraz ich możliwości psychofizycznych, zgodnie </w:t>
        <w:br/>
        <w:t>z obowiązującymi przepisami prawa.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993" w:hanging="0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CELE SZCZEGÓŁWE PLANOWANE DO OSIĄGNIECIA PODCZAS REALIZACJI PROJEKTU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993" w:hanging="0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Liczba uczniów, którzy nabyli kompetencje kluczowe po opuszczeniu programu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Liczba nauczycieli, którzy uzyskali kwalifikacje lub nabyli kompetencje po opuszczeniu programu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Liczba szkół i placówek systemu oświaty wykorzystujących sprzęt TIK do prowadzenia zajęć edukacyjnych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Liczba szkół, w których pracownie przedmiotowe wykorzystują doposażenie do prowadzenia zajęć edukacyjnych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Liczba uczniów objętych wsparciem w zakresie rozwijania kompetencji kluczowych w programie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Liczba nauczycieli objętych wsparciem w programie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Liczba szkół i placówek systemu oświaty wyposażonych w ramach programu </w:t>
        <w:br/>
        <w:t>w sprzęt TIK do prowadzenia zajęć edukacyjnych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Liczba szkół, których pracownie przedmiotowe zostały doposażone w programie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Liczba nauczycieli objętych wsparciem z zakresu TIK w programie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1276" w:hanging="0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OKRES REALIZACJI PROJEKTU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993" w:hanging="0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br/>
        <w:t xml:space="preserve">Zgodnie z wytycznymi Regulaminu Konkursu w tym w szczególności Załącznikiem nr 3 do Regulaminu konkursu: </w:t>
      </w:r>
      <w:r>
        <w:rPr>
          <w:rFonts w:eastAsia="Times New Roman" w:ascii="Times New Roman" w:hAnsi="Times New Roman"/>
          <w:i/>
          <w:sz w:val="24"/>
          <w:szCs w:val="24"/>
          <w:lang w:eastAsia="pl-PL"/>
        </w:rPr>
        <w:t>Wymogi formalne i kryteria wyboru projektów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– termin realizacji projektu nie może być dłuższy niż okres 3 lat liczonych od roku, </w:t>
        <w:br/>
        <w:t>w którym podpisana została umowa. Przy czym rozpoczęcie realizacji zadań projektu przewiduje się od stycznia 2017r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993" w:hanging="0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GRUPA DOCELOWA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993" w:hanging="0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993" w:hanging="0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Zgodnie z SZOOP w ramach działania 12.2 RPO WL oraz w zgodzie z kryterium formalnym specyficznym nr 1, grupę docelową projektu stanowić będą:</w:t>
      </w:r>
    </w:p>
    <w:p>
      <w:pPr>
        <w:pStyle w:val="ListParagraph"/>
        <w:numPr>
          <w:ilvl w:val="0"/>
          <w:numId w:val="8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Nauczyciele i pracownicy pedagogiczni</w:t>
      </w:r>
    </w:p>
    <w:p>
      <w:pPr>
        <w:pStyle w:val="ListParagraph"/>
        <w:numPr>
          <w:ilvl w:val="0"/>
          <w:numId w:val="8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Uczniowie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numPr>
          <w:ilvl w:val="0"/>
          <w:numId w:val="0"/>
        </w:numPr>
        <w:spacing w:beforeAutospacing="1" w:afterAutospacing="1"/>
        <w:ind w:left="993" w:hanging="0"/>
        <w:jc w:val="both"/>
        <w:outlineLvl w:val="0"/>
        <w:rPr>
          <w:rFonts w:eastAsia="Times New Roman"/>
        </w:rPr>
      </w:pPr>
      <w:r>
        <w:rPr>
          <w:rFonts w:eastAsia="Times New Roman"/>
        </w:rPr>
        <w:t>Następujących szkół zlokalizowanych na terenie Gminy Jastków, które osiągają najsłabsze wyniki edukacyjne w skali województwa lubelskiego, zgodnie z wykazem stanowiącym załącznik do Regulaminu Konkursu: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Szkoła Podstawowa w Płouszowicach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Szkoła Podstawowa w Panieńszczyzna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Szkoła Podstawowa w Ożarowie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Szkoła Podstawowa im. Jana Pawła II w Tomaszowicach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1276" w:hanging="0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426"/>
        <w:contextualSpacing/>
        <w:rPr>
          <w:rFonts w:ascii="Times New Roman" w:hAnsi="Times New Roman" w:eastAsia="Times New Roman"/>
          <w:sz w:val="30"/>
          <w:szCs w:val="30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PLANOWANY ZAKRES DZIAŁAŃ PARTNERA</w:t>
      </w:r>
      <w:r>
        <w:rPr>
          <w:rFonts w:eastAsia="Times New Roman" w:ascii="Times New Roman" w:hAnsi="Times New Roman"/>
          <w:sz w:val="30"/>
          <w:szCs w:val="30"/>
          <w:lang w:eastAsia="pl-PL"/>
        </w:rPr>
        <w:t xml:space="preserve">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283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Udział w przygotowaniu wniosku o dofinansowanie projektu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Udział w organizacji, przeprowadzeniu i monitoringu szkoleń, dostawie materiałów szkoleniowych oraz zatrudnieniu szkoleniowców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zajęć mających na celu podnoszenie kompetencji bądź kwalifikacji nauczycieli wszystkich przedmiotów w zakresie korzystania z nowoczesnych metod, technologii i sprzętu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Przeprowadzeniu szkolenia z zakresu realizacji zasady równości szans </w:t>
        <w:br/>
        <w:t xml:space="preserve">i niedyskryminacji 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Udział w organizacji szkoleń/studiów dla nauczycieli zatrudnionych w szkołach objętych projektem z zakresu:</w:t>
      </w:r>
    </w:p>
    <w:p>
      <w:pPr>
        <w:pStyle w:val="ListParagraph"/>
        <w:numPr>
          <w:ilvl w:val="0"/>
          <w:numId w:val="7"/>
        </w:numPr>
        <w:spacing w:lineRule="auto" w:line="240" w:beforeAutospacing="1" w:afterAutospacing="1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Prowadzenia procesu indywidualizacji pracy z uczniem ze specjalnymi potrzebami edukacyjnymi, w tym wsparcia ucznia młodszego, rozpoznawania potrzeb rozwojowych, edukacyjnych i możliwości psychofizycznych uczniów i efektywnego stosowania pomocy dydaktycznych w pracy</w:t>
      </w:r>
    </w:p>
    <w:p>
      <w:pPr>
        <w:pStyle w:val="ListParagraph"/>
        <w:numPr>
          <w:ilvl w:val="0"/>
          <w:numId w:val="7"/>
        </w:numPr>
        <w:spacing w:lineRule="auto" w:line="240" w:beforeAutospacing="1" w:afterAutospacing="1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Doskonalenie umiejętności i kompetencji zawodowych nauczycieli, w tym nauczycieli przedmiotów przyrodniczych lub matematyki, niezbędnych </w:t>
        <w:br/>
        <w:t>do prowadzenia procesu nauczania opartego na metodzie eksperymentu</w:t>
      </w:r>
    </w:p>
    <w:p>
      <w:pPr>
        <w:pStyle w:val="ListParagraph"/>
        <w:numPr>
          <w:ilvl w:val="0"/>
          <w:numId w:val="7"/>
        </w:numPr>
        <w:spacing w:lineRule="auto" w:line="240" w:beforeAutospacing="1" w:afterAutospacing="1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Doskonalenie umiejętności i kompetencji zawodowych nauczycieli w zakresie stosowania metod sprzyjających kształtowaniu i rozwijaniu u uczniów kompetencji kluczowych niezbędnych na rynku pracy oraz właściwych postaw/umiejętności (kreatywności, innowacyjności oraz pracy zespołowej)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pracy uczniem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Udział w wyposażeniu/doposażeniu szkół objętych projektem w nowoczesny sprzęt i materiały dydaktyczne niezbędnych do organizacji zajęć przyczyniających się do rozwoju kompetencji kluczowych na rynku pracy w tym w szczególności:</w:t>
      </w:r>
    </w:p>
    <w:p>
      <w:pPr>
        <w:pStyle w:val="ListParagraph"/>
        <w:numPr>
          <w:ilvl w:val="0"/>
          <w:numId w:val="6"/>
        </w:numPr>
        <w:spacing w:lineRule="auto" w:line="240" w:beforeAutospacing="1" w:afterAutospacing="1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szkolnych pracowni przedmiotów przyrodniczych</w:t>
      </w:r>
    </w:p>
    <w:p>
      <w:pPr>
        <w:pStyle w:val="ListParagraph"/>
        <w:numPr>
          <w:ilvl w:val="0"/>
          <w:numId w:val="6"/>
        </w:numPr>
        <w:spacing w:lineRule="auto" w:line="240" w:beforeAutospacing="1" w:afterAutospacing="1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zakup pomocy dydaktycznych i narzędzi Technologii Informacyjno-Komunikacyjnych (TIK)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Udział w organizacji, przeprowadzeniu i monitoringu zajęć z języków obcych dla uczniów szkół objętych projektem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Udział w organizacji wyjazdów edukacyjno-wychowawczych dla uczniów szkół objętych projektem,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Współudział w zarządzaniu oraz promocji i rozliczeniu projektu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Wsparcie i doradztwo w toku przeprowadzania postępowania o udzielenie zamówienia publicznego obejmującego dostawy i usługi stanowiące elementy projektu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Prowadzenia wyodrębnionej ewidencji wydatków projektu w sposób przejrzysty zgodnie z zasadami określonymi w Regionalnym Programie Operacyjnym Województwa Lubelskiego na lata 2014-2020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left="1276" w:hanging="283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Prowadzenia wyodrębnionego rachunku bankowego dla celów prowadzenia rozliczeń finansowych w projekcie 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1276" w:hanging="0"/>
        <w:contextualSpacing/>
        <w:jc w:val="both"/>
        <w:outlineLvl w:val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>KTO MOŻE ZOSTAĆ PARTNEREM W PROJEKCIE</w:t>
      </w:r>
    </w:p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  <w:t xml:space="preserve"> </w:t>
      </w:r>
    </w:p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Partnerem w projekcie, w zakresie wspólnej realizacji wybranych przedsięwzięć, mogą zostać wszystkie podmioty, które są uprawnione do ubiegania się </w:t>
        <w:br/>
        <w:t>o dofinansowanie w ramach RPO WL 2014 – 2020</w:t>
      </w:r>
    </w:p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KRYTERIA WYBORU PARTNERA:</w:t>
      </w:r>
      <w:r>
        <w:rPr/>
        <w:t xml:space="preserve"> </w:t>
      </w:r>
    </w:p>
    <w:p>
      <w:pPr>
        <w:pStyle w:val="ListParagraph"/>
        <w:numPr>
          <w:ilvl w:val="0"/>
          <w:numId w:val="9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Zgodność misji/profilu działalności Partnera z celami partnerstwa</w:t>
      </w:r>
    </w:p>
    <w:p>
      <w:pPr>
        <w:pStyle w:val="ListParagraph"/>
        <w:numPr>
          <w:ilvl w:val="0"/>
          <w:numId w:val="9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Deklarowany wkład potencjalnego partnera w realizację celu partnerstwa - zasoby ludzkie, organizacyjne, techniczne</w:t>
      </w:r>
    </w:p>
    <w:p>
      <w:pPr>
        <w:pStyle w:val="ListParagraph"/>
        <w:numPr>
          <w:ilvl w:val="0"/>
          <w:numId w:val="9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Posiadany potencjał finansowy oraz kadrowo – organizacyjny niezbędny do realizacji projektu oraz propozycja wkładu Partnera w realizacje projektu </w:t>
        <w:br/>
        <w:t>i utrzymanie jego trwałości:</w:t>
      </w:r>
    </w:p>
    <w:p>
      <w:pPr>
        <w:pStyle w:val="ListParagraph"/>
        <w:numPr>
          <w:ilvl w:val="1"/>
          <w:numId w:val="10"/>
        </w:numPr>
        <w:spacing w:lineRule="auto" w:line="240" w:before="0" w:after="60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niezbędny potencjał kadrowy, rozumie się:</w:t>
      </w:r>
    </w:p>
    <w:p>
      <w:pPr>
        <w:pStyle w:val="ListParagraph"/>
        <w:numPr>
          <w:ilvl w:val="0"/>
          <w:numId w:val="11"/>
        </w:numPr>
        <w:spacing w:lineRule="auto" w:line="240" w:before="0" w:after="60"/>
        <w:ind w:left="1843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dysponowanie kadrą mającą doświadczenie w przygotowaniu wniosków </w:t>
        <w:br/>
        <w:t>o dofinansowanie projektów ze środków EFS - minimum jedna osoba, mająca doświadczenie w pozyskaniu dofinansowania do min. 2 projektów w przeciągu ostatnich 5 lat,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t xml:space="preserve">która przygotowała min. 1 wniosek </w:t>
        <w:br/>
        <w:t xml:space="preserve">o dofinansowanie projektu realizowanego przez uczelnię publiczną </w:t>
        <w:br/>
        <w:t>ze środków EFS, a przygotowany wniosek otrzymał dofinansowanie, realizowanych przez szkołę kształcenia ogólnego ze środków EFS</w:t>
      </w:r>
    </w:p>
    <w:p>
      <w:pPr>
        <w:pStyle w:val="ListParagraph"/>
        <w:numPr>
          <w:ilvl w:val="0"/>
          <w:numId w:val="11"/>
        </w:numPr>
        <w:spacing w:lineRule="auto" w:line="240" w:before="0" w:after="60"/>
        <w:ind w:left="1843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dysponowanie kadrą mającą doświadczenie we współpracy z szkołami kształcenia ogólnego oraz ich organami prowadzącymi przy realizacji projektów współfinansowanych ze środków EFS - minimum jedna osoba posiadająca udokumentowane doświadczenie w realizacji, co najmniej 2 projektów o zbliżonej tematyce na rzecz placówki kształcenia ogólnego, w tym przynajmniej jednego o wartości budżetu całkowitego nie mniejszej niż 1 500 000 zł i okresie realizacji nie krótszym niż 1,5 roku kalendarzowego. </w:t>
      </w:r>
    </w:p>
    <w:p>
      <w:pPr>
        <w:pStyle w:val="ListParagraph"/>
        <w:numPr>
          <w:ilvl w:val="0"/>
          <w:numId w:val="11"/>
        </w:numPr>
        <w:spacing w:lineRule="auto" w:line="240" w:before="0" w:after="60"/>
        <w:ind w:left="1843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dysponowanie kadrą mającą doświadczenie w zarządzaniu projektami współfinansowanymi ze środków EFS realizowanymi przez szkołę kształcenia publicznego lub ich organ prowadzący - minimum jedną osobą, która pełniła funkcje kierownika, w co najmniej w dwóch projektach współfinansowanych ze środków EFS, w tym budżet całkowity, co najmniej jednego projektu nie był mniejszej niż 1 500 000 zł a okres realizacji wynosił, co najmniej 18 miesięcy</w:t>
      </w:r>
    </w:p>
    <w:p>
      <w:pPr>
        <w:pStyle w:val="ListParagraph"/>
        <w:numPr>
          <w:ilvl w:val="0"/>
          <w:numId w:val="11"/>
        </w:numPr>
        <w:spacing w:lineRule="auto" w:line="240" w:before="0" w:after="60"/>
        <w:ind w:left="1843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dysponowanie kadrą mającą doświadczenie w zarządzaniu projektem współfinansowanych ze środków EFS - minimum jedna osoba, która prowadziła obsługę logistyczną w ramach projektu współfinansowanego ze środków EFS o ilości uczestników minimum 200 osób.</w:t>
      </w:r>
    </w:p>
    <w:p>
      <w:pPr>
        <w:pStyle w:val="ListParagraph"/>
        <w:spacing w:lineRule="auto" w:line="240" w:before="0" w:after="60"/>
        <w:ind w:left="1418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0"/>
        </w:numPr>
        <w:spacing w:lineRule="auto" w:line="240" w:before="0" w:after="60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Propozycja wkładu Partnera w realizacje projektu i utrzymanie jego trwałości - przedstawienie proponowanych rozwiązań w zakresie utrzymania trwałości działań podejmowanych w ramach projektu, po zakończeniu finansowania ze środków UE.</w:t>
      </w:r>
    </w:p>
    <w:p>
      <w:pPr>
        <w:pStyle w:val="ListParagraph"/>
        <w:numPr>
          <w:ilvl w:val="1"/>
          <w:numId w:val="10"/>
        </w:numPr>
        <w:spacing w:lineRule="auto" w:line="240" w:before="0" w:after="60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Doświadczenie we wdrażaniu/testowaniu innowacyjnych programów zajęć dla uczniów szkoły podstawowej i gimnazjum z nauk przyrodniczych i technologii informacyjno – komunikacyjnych</w:t>
      </w:r>
    </w:p>
    <w:p>
      <w:pPr>
        <w:pStyle w:val="ListParagraph"/>
        <w:spacing w:lineRule="auto" w:line="240" w:before="0" w:after="60"/>
        <w:ind w:left="1418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spacing w:lineRule="auto" w:line="240" w:before="0" w:after="6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musi posiadać uprawnienia do wykonywania określonej działalności lub czynności, jeżeli ustawy nakładają obowiązek posiadania takich uprawnień</w:t>
      </w:r>
    </w:p>
    <w:p>
      <w:pPr>
        <w:pStyle w:val="ListParagraph"/>
        <w:spacing w:lineRule="auto" w:line="240" w:before="0" w:after="60"/>
        <w:ind w:left="360" w:hanging="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240" w:beforeAutospacing="1" w:afterAutospacing="1"/>
        <w:ind w:left="567" w:hanging="567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SPOSÓB PRZYGOTOWANIA I ZŁOŻENIA OFERTY</w:t>
      </w:r>
    </w:p>
    <w:p>
      <w:pPr>
        <w:pStyle w:val="ListParagraph"/>
        <w:numPr>
          <w:ilvl w:val="0"/>
          <w:numId w:val="0"/>
        </w:numPr>
        <w:tabs>
          <w:tab w:val="left" w:pos="567" w:leader="none"/>
        </w:tabs>
        <w:spacing w:lineRule="auto" w:line="240" w:beforeAutospacing="1" w:afterAutospacing="1"/>
        <w:ind w:left="567" w:hanging="0"/>
        <w:contextualSpacing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tabs>
          <w:tab w:val="left" w:pos="567" w:leader="none"/>
        </w:tabs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Podmiot ubiegający się o wybór na Partnera w procedurze otwartego konkursu jest zobowiązane do przedłożenia następujących dokumentów (oryginał lub uwierzytelniona kopia):</w:t>
      </w:r>
    </w:p>
    <w:p>
      <w:pPr>
        <w:pStyle w:val="ListParagraph"/>
        <w:numPr>
          <w:ilvl w:val="1"/>
          <w:numId w:val="12"/>
        </w:numPr>
        <w:tabs>
          <w:tab w:val="left" w:pos="567" w:leader="none"/>
        </w:tabs>
        <w:spacing w:lineRule="auto" w:line="240" w:beforeAutospacing="1" w:afterAutospacing="1"/>
        <w:ind w:left="1418" w:hanging="432"/>
        <w:contextualSpacing/>
        <w:jc w:val="both"/>
        <w:outlineLvl w:val="0"/>
        <w:rPr/>
      </w:pPr>
      <w:r>
        <w:rPr>
          <w:rFonts w:ascii="Times New Roman" w:hAnsi="Times New Roman"/>
          <w:sz w:val="24"/>
          <w:szCs w:val="24"/>
        </w:rPr>
        <w:t xml:space="preserve">Wypełnionego „Formularza Oferty” w oparciu o zamieszczony wzór w Ogłoszeniu otwartym konkursie wyłonienie Partnera na stronie internetowej: </w:t>
      </w:r>
      <w:r>
        <w:rPr>
          <w:rFonts w:ascii="Times New Roman" w:hAnsi="Times New Roman"/>
          <w:sz w:val="24"/>
          <w:szCs w:val="24"/>
          <w:highlight w:val="yellow"/>
        </w:rPr>
        <w:t>http://jastkow.pl/</w:t>
      </w:r>
    </w:p>
    <w:p>
      <w:pPr>
        <w:pStyle w:val="ListParagraph"/>
        <w:numPr>
          <w:ilvl w:val="1"/>
          <w:numId w:val="12"/>
        </w:numPr>
        <w:tabs>
          <w:tab w:val="left" w:pos="567" w:leader="none"/>
        </w:tabs>
        <w:spacing w:lineRule="auto" w:line="240" w:beforeAutospacing="1" w:afterAutospacing="1"/>
        <w:ind w:left="1418" w:hanging="432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Aktualnego wypisu z KRS (ważny 3 miesiące od daty uzyskania) lub innego równoważnego dokumentu potwierdzającego formę prawną i organizacyjną oraz umocowanie osób go reprezentujących,</w:t>
      </w:r>
    </w:p>
    <w:p>
      <w:pPr>
        <w:pStyle w:val="ListParagraph"/>
        <w:numPr>
          <w:ilvl w:val="1"/>
          <w:numId w:val="12"/>
        </w:numPr>
        <w:tabs>
          <w:tab w:val="left" w:pos="567" w:leader="none"/>
        </w:tabs>
        <w:spacing w:lineRule="auto" w:line="240" w:beforeAutospacing="1" w:afterAutospacing="1"/>
        <w:ind w:left="1418" w:hanging="432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Oświadczenie o nie wykluczeniu z ubiegania się o dofinansowanie na podstawie art. 207 ust. 4 ustawy z dnia 27 sierpnia 2009r. o finansach publicznych (Dz. U. z 2013r poz. 885, z późn. zm) lub wobec których orzeczono zakaz dostępu do środków funduszy europejskich na podstawie odrębnych przepisów,</w:t>
      </w:r>
    </w:p>
    <w:p>
      <w:pPr>
        <w:pStyle w:val="ListParagraph"/>
        <w:numPr>
          <w:ilvl w:val="1"/>
          <w:numId w:val="12"/>
        </w:numPr>
        <w:tabs>
          <w:tab w:val="left" w:pos="567" w:leader="none"/>
        </w:tabs>
        <w:spacing w:lineRule="auto" w:line="240" w:beforeAutospacing="1" w:afterAutospacing="1"/>
        <w:ind w:left="1418" w:hanging="432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Oświadczenie o niezaleganiu z uiszczaniem podatków, jak również z opłacaniem składek na ubezpieczenie społeczne i zdrowotne, Fundusz Pracy, Państwowy Fundusz Rehabilitacji Osób Niepełnosprawnych lub innych należności wymaganych odrębnymi przepisami   </w:t>
      </w:r>
    </w:p>
    <w:p>
      <w:pPr>
        <w:pStyle w:val="ListParagraph"/>
        <w:numPr>
          <w:ilvl w:val="0"/>
          <w:numId w:val="12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złożone w sposób niekompletny nie będą rozpatrywane ze względów formalnych.</w:t>
      </w:r>
    </w:p>
    <w:p>
      <w:pPr>
        <w:pStyle w:val="ListParagraph"/>
        <w:numPr>
          <w:ilvl w:val="0"/>
          <w:numId w:val="12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Kopie dokumentów dołączone do oferty muszą być opatrzone pieczęcią podmiotu, aktualną datą, własnoręcznym podpisem osoby/osób uprawnionej do reprezentowania podmiotu oraz poświadczone za zgodność z oryginałem. </w:t>
      </w:r>
    </w:p>
    <w:p>
      <w:pPr>
        <w:pStyle w:val="ListParagraph"/>
        <w:numPr>
          <w:ilvl w:val="0"/>
          <w:numId w:val="12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należy dostarczyć do siedziby Urzędu Gminy Jastków osobiście, za pośrednictwem poczty lub usług kurierskich, na adres</w:t>
      </w:r>
      <w:r>
        <w:rPr>
          <w:rFonts w:ascii="Times New Roman" w:hAnsi="Times New Roman"/>
          <w:b/>
          <w:sz w:val="24"/>
          <w:szCs w:val="24"/>
        </w:rPr>
        <w:t xml:space="preserve">: Urząd Gminy Jastków, Panieńszczyzna, ul. Chmielowa 3 , 21 – 002 Jastków,  w dni robocze od 8.00 do 14.00  z dopiskiem </w:t>
      </w:r>
      <w:r>
        <w:rPr>
          <w:rFonts w:ascii="Times New Roman" w:hAnsi="Times New Roman"/>
          <w:b/>
          <w:i/>
          <w:sz w:val="24"/>
          <w:szCs w:val="24"/>
        </w:rPr>
        <w:t>„Otwarty nabór na Partnera w projekcie w ramach konkursu nr: RPLU.12.02.00-IZ.00-06-001/16, Działanie 12.2. Kształcenie Ogólne”</w:t>
      </w:r>
      <w:r>
        <w:rPr>
          <w:rFonts w:ascii="Times New Roman" w:hAnsi="Times New Roman"/>
          <w:b/>
          <w:sz w:val="24"/>
          <w:szCs w:val="24"/>
        </w:rPr>
        <w:t xml:space="preserve"> do dnia 8.04.2016r.</w:t>
      </w:r>
    </w:p>
    <w:p>
      <w:pPr>
        <w:pStyle w:val="ListParagraph"/>
        <w:numPr>
          <w:ilvl w:val="0"/>
          <w:numId w:val="12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ofert wysyłanych pocztą, decyduje data wpływu oferty a nie data stempla pocztowego</w:t>
      </w:r>
    </w:p>
    <w:p>
      <w:pPr>
        <w:pStyle w:val="ListParagraph"/>
        <w:numPr>
          <w:ilvl w:val="0"/>
          <w:numId w:val="12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złożone po upływie terminu nie będą rozpatrywane.</w:t>
      </w:r>
    </w:p>
    <w:p>
      <w:pPr>
        <w:pStyle w:val="ListParagraph"/>
        <w:numPr>
          <w:ilvl w:val="0"/>
          <w:numId w:val="12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będą rozpatrywane oferty, złożone przez podmioty, które nie spełniają wymagań określonych w pkt. II.</w:t>
      </w:r>
    </w:p>
    <w:p>
      <w:pPr>
        <w:pStyle w:val="ListParagraph"/>
        <w:numPr>
          <w:ilvl w:val="0"/>
          <w:numId w:val="12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zapisami art. 33 ustawy z dnia 11 lipca 2014 r. o zasadach realizacji programów w zakresie polityki spójności finansowanych w perspektywie finansowej 2014–2020. (Dz.U. 2014 poz. 1146) oferty przyjmowane są przez okres 21 dni od dnia opublikowania przedmiotowego ogłoszenia. Na potrzeby otwartego konkursu, przyjmuje się, że wskazany okres będzie liczony w dniach kalendarzowych. Ostatnim dniem jest 21. dzień od dnia opublikowania przedmiotowego ogłoszenia.</w:t>
      </w:r>
    </w:p>
    <w:p>
      <w:pPr>
        <w:pStyle w:val="ListParagraph"/>
        <w:spacing w:lineRule="auto" w:line="240" w:before="0" w:after="60"/>
        <w:ind w:left="360" w:hanging="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240" w:beforeAutospacing="1" w:afterAutospacing="1"/>
        <w:ind w:left="567" w:hanging="425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PROCEDURA KONKURSOWA</w:t>
      </w:r>
    </w:p>
    <w:p>
      <w:pPr>
        <w:pStyle w:val="ListParagraph"/>
        <w:numPr>
          <w:ilvl w:val="0"/>
          <w:numId w:val="0"/>
        </w:numPr>
        <w:tabs>
          <w:tab w:val="left" w:pos="567" w:leader="none"/>
        </w:tabs>
        <w:spacing w:lineRule="auto" w:line="240" w:beforeAutospacing="1" w:afterAutospacing="1"/>
        <w:ind w:left="567" w:hanging="0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3"/>
        </w:numPr>
        <w:tabs>
          <w:tab w:val="left" w:pos="993" w:leader="none"/>
        </w:tabs>
        <w:spacing w:lineRule="auto" w:line="240" w:beforeAutospacing="1" w:afterAutospacing="1"/>
        <w:ind w:left="993" w:hanging="426"/>
        <w:contextualSpacing/>
        <w:jc w:val="both"/>
        <w:outlineLvl w:val="0"/>
        <w:rPr/>
      </w:pPr>
      <w:r>
        <w:rPr>
          <w:rFonts w:ascii="Times New Roman" w:hAnsi="Times New Roman"/>
          <w:sz w:val="24"/>
          <w:szCs w:val="24"/>
        </w:rPr>
        <w:t>Informacja o konkursie i Regulamin umieszczone są na stronie internetowej: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http://jastkow.pl/</w:t>
      </w:r>
    </w:p>
    <w:p>
      <w:pPr>
        <w:pStyle w:val="ListParagraph"/>
        <w:numPr>
          <w:ilvl w:val="0"/>
          <w:numId w:val="13"/>
        </w:numPr>
        <w:tabs>
          <w:tab w:val="left" w:pos="993" w:leader="none"/>
        </w:tabs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ramach konkursu wyłoniony zostanie jeden Partner.</w:t>
      </w:r>
    </w:p>
    <w:p>
      <w:pPr>
        <w:pStyle w:val="ListParagraph"/>
        <w:numPr>
          <w:ilvl w:val="0"/>
          <w:numId w:val="13"/>
        </w:numPr>
        <w:tabs>
          <w:tab w:val="left" w:pos="993" w:leader="none"/>
        </w:tabs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Postępowanie konkursowe przeprowadza Komisja Konkursowa powołana przez: Wójta Gminy Jastków</w:t>
      </w:r>
    </w:p>
    <w:p>
      <w:pPr>
        <w:pStyle w:val="ListParagraph"/>
        <w:numPr>
          <w:ilvl w:val="0"/>
          <w:numId w:val="13"/>
        </w:numPr>
        <w:tabs>
          <w:tab w:val="left" w:pos="993" w:leader="none"/>
        </w:tabs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Komisja rozpoczyna działalność z dniem powołania. Jej pracami kieruje Przewodniczący Komisji.</w:t>
      </w:r>
    </w:p>
    <w:p>
      <w:pPr>
        <w:pStyle w:val="ListParagraph"/>
        <w:numPr>
          <w:ilvl w:val="0"/>
          <w:numId w:val="13"/>
        </w:numPr>
        <w:tabs>
          <w:tab w:val="left" w:pos="993" w:leader="none"/>
        </w:tabs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Komisja podejmuje rozstrzygnięcia zwykłą większością głosów.</w:t>
      </w:r>
    </w:p>
    <w:p>
      <w:pPr>
        <w:pStyle w:val="ListParagraph"/>
        <w:numPr>
          <w:ilvl w:val="0"/>
          <w:numId w:val="13"/>
        </w:numPr>
        <w:tabs>
          <w:tab w:val="left" w:pos="993" w:leader="none"/>
        </w:tabs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Każdy z członków Komisji Konkursowej weryfikuje oferty zgłoszone przez oferentów w drodze otwartego konkursu, pod względem formalnym </w:t>
        <w:br/>
        <w:t>i merytorycznym, według kryteriów określonych w pkt. II Regulaminu.</w:t>
      </w:r>
    </w:p>
    <w:p>
      <w:pPr>
        <w:pStyle w:val="ListParagraph"/>
        <w:numPr>
          <w:ilvl w:val="0"/>
          <w:numId w:val="13"/>
        </w:numPr>
        <w:tabs>
          <w:tab w:val="left" w:pos="993" w:leader="none"/>
        </w:tabs>
        <w:spacing w:lineRule="auto" w:line="240" w:beforeAutospacing="1" w:afterAutospacing="1"/>
        <w:ind w:left="993" w:hanging="426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pierwszym etapie konkursu Komisja Konkursowa:</w:t>
      </w:r>
    </w:p>
    <w:p>
      <w:pPr>
        <w:pStyle w:val="ListParagraph"/>
        <w:numPr>
          <w:ilvl w:val="1"/>
          <w:numId w:val="13"/>
        </w:numPr>
        <w:tabs>
          <w:tab w:val="left" w:pos="993" w:leader="none"/>
        </w:tabs>
        <w:spacing w:lineRule="auto" w:line="240" w:beforeAutospacing="1" w:afterAutospacing="1"/>
        <w:ind w:left="1418" w:hanging="425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stwierdza liczbę złożonych ofert,</w:t>
      </w:r>
    </w:p>
    <w:p>
      <w:pPr>
        <w:pStyle w:val="ListParagraph"/>
        <w:numPr>
          <w:ilvl w:val="1"/>
          <w:numId w:val="13"/>
        </w:numPr>
        <w:tabs>
          <w:tab w:val="left" w:pos="993" w:leader="none"/>
        </w:tabs>
        <w:spacing w:lineRule="auto" w:line="240" w:beforeAutospacing="1" w:afterAutospacing="1"/>
        <w:ind w:left="1418" w:hanging="425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otwiera koperty z ofertami,</w:t>
      </w:r>
    </w:p>
    <w:p>
      <w:pPr>
        <w:pStyle w:val="ListParagraph"/>
        <w:numPr>
          <w:ilvl w:val="1"/>
          <w:numId w:val="13"/>
        </w:numPr>
        <w:tabs>
          <w:tab w:val="left" w:pos="993" w:leader="none"/>
        </w:tabs>
        <w:spacing w:lineRule="auto" w:line="240" w:beforeAutospacing="1" w:afterAutospacing="1"/>
        <w:ind w:left="1418" w:hanging="425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ocenia oferty pod względem formalnym - ocena polega na sprawdzeniu czy oferent podał wszystkie niezbędne informacje według zamieszczonego „Formularza Oferty” i dołączył wszystkie wymagane dokumenty wymienione </w:t>
        <w:br/>
        <w:t>w pkt. III ppkt. 1 Regulaminu</w:t>
      </w:r>
    </w:p>
    <w:p>
      <w:pPr>
        <w:pStyle w:val="ListParagraph"/>
        <w:numPr>
          <w:ilvl w:val="1"/>
          <w:numId w:val="13"/>
        </w:numPr>
        <w:tabs>
          <w:tab w:val="left" w:pos="993" w:leader="none"/>
        </w:tabs>
        <w:spacing w:lineRule="auto" w:line="240" w:beforeAutospacing="1" w:afterAutospacing="1"/>
        <w:ind w:left="1418" w:hanging="425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Komisja Konkursowa odrzuca złożoną ofertę z przyczyn formalnych, </w:t>
        <w:br/>
        <w:t xml:space="preserve">w przypadku braku jednej z wymaganych informacji o podmiocie, </w:t>
        <w:br/>
        <w:t>w wypełnionym przez oferenta rozdziale pierwszym „Formularza Oferty”,</w:t>
      </w:r>
    </w:p>
    <w:p>
      <w:pPr>
        <w:pStyle w:val="ListParagraph"/>
        <w:numPr>
          <w:ilvl w:val="1"/>
          <w:numId w:val="13"/>
        </w:numPr>
        <w:tabs>
          <w:tab w:val="left" w:pos="993" w:leader="none"/>
        </w:tabs>
        <w:spacing w:lineRule="auto" w:line="240" w:beforeAutospacing="1" w:afterAutospacing="1"/>
        <w:ind w:left="1418" w:hanging="425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Gmina Jastków może ponowić ogłoszenie naboru na wyłonienie Partnera </w:t>
        <w:br/>
        <w:t xml:space="preserve">w przypadku, gdy wszystkie zgłoszone oferty Komisja Konkursowa odrzuci, </w:t>
        <w:br/>
        <w:t>z przyczyn formalnych.</w:t>
      </w:r>
    </w:p>
    <w:p>
      <w:pPr>
        <w:pStyle w:val="ListParagraph"/>
        <w:numPr>
          <w:ilvl w:val="0"/>
          <w:numId w:val="13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drugim etapie konkursu, Komisja Konkursowa: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analizuje merytoryczną zawartość ofert,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przyznaje odpowiednią liczbę punktów według kryteriów opracowanych w „Formularzu Oferty”, 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wskazuje najwyżej ocenione oferty,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przeprowadza ewentualne negocjacje z dwoma najwyżej ocenionymi Oferentami, celem konkretyzacji zasad współpracy przy realizacji projektu,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przeprowadzonych negocjacjach rozstrzyga konkurs i wyłania jednego Partnera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jeżeli negocjacje z najwyżej ocenionymi Oferentami lub jednym z nich nie dojdą do skutku, Komisja Konkursowa dopuszcza możliwość podjęcia negocjacji z kolejnym lub kolejnymi najlepiej ocenianym/ocenianymi Oferentem/Oferentami,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zamknięcia procedury oceny ofert i nie wyłonienia Partnera, Gmina Jastków może ponowić ogłoszenie konkursu w celu wyłonienia Partnera.</w:t>
      </w:r>
    </w:p>
    <w:p>
      <w:pPr>
        <w:pStyle w:val="ListParagraph"/>
        <w:numPr>
          <w:ilvl w:val="0"/>
          <w:numId w:val="13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przebiegu konkursu Komisja Konkursowa sporządza protokół, który powinien zawierać: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Imiona i nazwiska Członków Komisji Konkursowej,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liczbę zgłoszonych ofert,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wskazanie ofert najkorzystniejszych,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uwagi Członków Komisji Konkursowej,</w:t>
      </w:r>
    </w:p>
    <w:p>
      <w:pPr>
        <w:pStyle w:val="ListParagraph"/>
        <w:numPr>
          <w:ilvl w:val="1"/>
          <w:numId w:val="13"/>
        </w:numPr>
        <w:spacing w:lineRule="auto" w:line="240" w:before="0" w:after="60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Członków Komisji Konkursowej.</w:t>
      </w:r>
    </w:p>
    <w:p>
      <w:pPr>
        <w:pStyle w:val="ListParagraph"/>
        <w:numPr>
          <w:ilvl w:val="0"/>
          <w:numId w:val="13"/>
        </w:numPr>
        <w:spacing w:lineRule="auto" w:line="240" w:before="0" w:after="6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ulega rozwiązaniu po rozstrzygnięciu konkursu i wyłonieniu Partnera do wspólnej realizacji projektu.</w:t>
      </w:r>
    </w:p>
    <w:p>
      <w:pPr>
        <w:pStyle w:val="ListParagraph"/>
        <w:numPr>
          <w:ilvl w:val="0"/>
          <w:numId w:val="13"/>
        </w:numPr>
        <w:spacing w:lineRule="auto" w:line="240" w:before="0" w:after="6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Podmioty biorące udział w konkursie zostaną pisemnie poinformowane o wyniku postępowania konkursowego. Informacja o podmiocie, który zostanie wyłoniony </w:t>
        <w:br/>
        <w:t xml:space="preserve">w wyniku rozstrzygnięcia konkursu, będzie opublikowana na stronie internetowej </w:t>
      </w:r>
      <w:r>
        <w:rPr>
          <w:rFonts w:ascii="Times New Roman" w:hAnsi="Times New Roman"/>
          <w:sz w:val="24"/>
          <w:szCs w:val="24"/>
          <w:highlight w:val="yellow"/>
        </w:rPr>
        <w:t>http://jastkow.pl/</w:t>
      </w:r>
      <w:r>
        <w:rPr>
          <w:rFonts w:ascii="Times New Roman" w:hAnsi="Times New Roman"/>
          <w:sz w:val="24"/>
          <w:szCs w:val="24"/>
        </w:rPr>
        <w:t xml:space="preserve"> niezwłocznie po podjęciu ostatecznej decyzji przez Komisję Konkursową.</w:t>
      </w:r>
    </w:p>
    <w:p>
      <w:pPr>
        <w:pStyle w:val="ListParagraph"/>
        <w:numPr>
          <w:ilvl w:val="0"/>
          <w:numId w:val="13"/>
        </w:numPr>
        <w:spacing w:lineRule="auto" w:line="240" w:before="0" w:after="6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Partnerem, wyłonionymi w toku postępowania konkursowego, zostanie zawarta umowa partnerska, w celu realizacji wspólnego przedsięwzięcia.</w:t>
      </w:r>
    </w:p>
    <w:p>
      <w:pPr>
        <w:pStyle w:val="ListParagraph"/>
        <w:numPr>
          <w:ilvl w:val="0"/>
          <w:numId w:val="13"/>
        </w:numPr>
        <w:spacing w:lineRule="auto" w:line="240" w:before="0" w:after="6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Ogłaszający zastrzega sobie prawo do unieważnienia naboru z powodu zaistnienia okoliczności, których nie mógł przewidzieć na przed ogłoszeniem naboru</w:t>
      </w:r>
    </w:p>
    <w:p>
      <w:pPr>
        <w:pStyle w:val="ListParagraph"/>
        <w:numPr>
          <w:ilvl w:val="0"/>
          <w:numId w:val="13"/>
        </w:numPr>
        <w:spacing w:lineRule="auto" w:line="240" w:before="0" w:after="6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unieważnienia naboru potencjalnym Partnerom nie przysługuje prawo do dochodzenia zwrotu kosztów za przygotowanie oferty</w:t>
      </w:r>
    </w:p>
    <w:p>
      <w:pPr>
        <w:pStyle w:val="ListParagraph"/>
        <w:spacing w:lineRule="auto" w:line="240" w:before="0" w:after="60"/>
        <w:ind w:left="99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60"/>
        <w:ind w:left="99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567" w:hanging="425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PROCEDURA ODWOŁAWCZA</w:t>
      </w:r>
    </w:p>
    <w:p>
      <w:pPr>
        <w:pStyle w:val="ListParagraph"/>
        <w:spacing w:lineRule="auto" w:line="240" w:before="0" w:after="60"/>
        <w:ind w:left="99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4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Podmiot, który, w ramach konkursu, nie został wybrany do pełnienia funkcji Partnera </w:t>
        <w:br/>
        <w:t>w projekcie, może wnieść odwołanie od decyzji dotyczącej wyboru Partnerów.</w:t>
      </w:r>
    </w:p>
    <w:p>
      <w:pPr>
        <w:pStyle w:val="ListParagraph"/>
        <w:numPr>
          <w:ilvl w:val="0"/>
          <w:numId w:val="14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Odwołanie powinno zostać wniesione w formie pisemnej, w terminie 7 dni roboczych od doręczenia informacji o wynikach postępowania konkursowego.</w:t>
      </w:r>
    </w:p>
    <w:p>
      <w:pPr>
        <w:pStyle w:val="ListParagraph"/>
        <w:numPr>
          <w:ilvl w:val="0"/>
          <w:numId w:val="12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Odwołanie należy dostarczyć osobiście, za pośrednictwem poczty lub usług kurierskich do siedziby Urzędu Gminy Jastków osobiście, za pośrednictwem poczty lub usług kurierskich, na adres: Urząd Gminy Jastków, Panieńszczyzna, ul. Chmielowa 3, </w:t>
        <w:br/>
        <w:t>21 – 002 Jastków,  w dni robocze od 8.00 do 14.00  z dopiskiem „Odwołanie od decyzji wyboru Partnera w projekcie w ramach konkursu nr: RPLU.12.02.00-IZ.00-06-001/16, Działanie 12.2. Kształcenie Ogólne</w:t>
      </w:r>
      <w:r>
        <w:rPr>
          <w:rFonts w:ascii="Times New Roman" w:hAnsi="Times New Roman"/>
          <w:i/>
          <w:sz w:val="24"/>
          <w:szCs w:val="24"/>
        </w:rPr>
        <w:t>”</w:t>
      </w:r>
    </w:p>
    <w:p>
      <w:pPr>
        <w:pStyle w:val="ListParagraph"/>
        <w:numPr>
          <w:ilvl w:val="0"/>
          <w:numId w:val="14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Odwołanie złożone po upływie terminu nie będzie rozpatrywane.</w:t>
      </w:r>
    </w:p>
    <w:p>
      <w:pPr>
        <w:pStyle w:val="ListParagraph"/>
        <w:numPr>
          <w:ilvl w:val="0"/>
          <w:numId w:val="14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weryfikacji odwołań zostanie powołana Komisja Odwoławcza, w skład której wejdą niezależni członkowie, niewchodzący w skład Komisji Konkursowej.</w:t>
      </w:r>
    </w:p>
    <w:p>
      <w:pPr>
        <w:pStyle w:val="ListParagraph"/>
        <w:numPr>
          <w:ilvl w:val="0"/>
          <w:numId w:val="14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Odwoławcza rozpoczyna działalność z dniem powołania.</w:t>
      </w:r>
    </w:p>
    <w:p>
      <w:pPr>
        <w:pStyle w:val="ListParagraph"/>
        <w:numPr>
          <w:ilvl w:val="0"/>
          <w:numId w:val="14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podejmuje rozstrzygnięcia zwykłą większością głosów.</w:t>
      </w:r>
    </w:p>
    <w:p>
      <w:pPr>
        <w:pStyle w:val="ListParagraph"/>
        <w:numPr>
          <w:ilvl w:val="0"/>
          <w:numId w:val="14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Pracą Komisji Odwoławczej kieruje Przewodniczący.</w:t>
      </w:r>
    </w:p>
    <w:p>
      <w:pPr>
        <w:pStyle w:val="ListParagraph"/>
        <w:numPr>
          <w:ilvl w:val="0"/>
          <w:numId w:val="14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składający odwołanie zostanie pisemnie poinformowany o wynikach postępowania odwoławczego w przeciągu 7 dni roboczych od ogłoszenia wyników konkursu.</w:t>
      </w:r>
    </w:p>
    <w:p>
      <w:pPr>
        <w:pStyle w:val="ListParagraph"/>
        <w:numPr>
          <w:ilvl w:val="0"/>
          <w:numId w:val="14"/>
        </w:numPr>
        <w:spacing w:lineRule="auto" w:line="240" w:before="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Decyzja Komisji Odwoławczej jest decyzją ostateczną, od której nie służy żaden środek odwoławczy.</w:t>
      </w:r>
    </w:p>
    <w:p>
      <w:pPr>
        <w:pStyle w:val="ListParagraph"/>
        <w:spacing w:lineRule="auto" w:line="240" w:before="0" w:after="6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ZAŁĄCZNIKI DO REGULAMINU</w:t>
      </w:r>
    </w:p>
    <w:p>
      <w:pPr>
        <w:pStyle w:val="ListParagraph"/>
        <w:spacing w:lineRule="auto" w:line="240" w:before="0" w:after="60"/>
        <w:ind w:left="567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5"/>
        </w:numPr>
        <w:spacing w:lineRule="auto" w:line="240" w:before="0" w:after="6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Formularz ofertowy </w:t>
      </w:r>
    </w:p>
    <w:p>
      <w:pPr>
        <w:pStyle w:val="ListParagraph"/>
        <w:numPr>
          <w:ilvl w:val="0"/>
          <w:numId w:val="0"/>
        </w:numPr>
        <w:tabs>
          <w:tab w:val="left" w:pos="567" w:leader="none"/>
        </w:tabs>
        <w:spacing w:lineRule="auto" w:line="240" w:beforeAutospacing="1" w:afterAutospacing="1"/>
        <w:ind w:left="567" w:hanging="0"/>
        <w:contextualSpacing/>
        <w:jc w:val="both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7" w:right="1247" w:header="709" w:top="851" w:footer="709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fixed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drawing>
        <wp:inline distT="0" distB="0" distL="0" distR="9525">
          <wp:extent cx="4962525" cy="628650"/>
          <wp:effectExtent l="0" t="0" r="0" b="0"/>
          <wp:docPr id="2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3665" distR="113665" simplePos="0" locked="0" layoutInCell="1" allowOverlap="1" relativeHeight="8">
              <wp:simplePos x="0" y="0"/>
              <wp:positionH relativeFrom="column">
                <wp:posOffset>-306070</wp:posOffset>
              </wp:positionH>
              <wp:positionV relativeFrom="paragraph">
                <wp:posOffset>-31750</wp:posOffset>
              </wp:positionV>
              <wp:extent cx="6163310" cy="10160"/>
              <wp:effectExtent l="9525" t="9525" r="9525" b="9525"/>
              <wp:wrapNone/>
              <wp:docPr id="1" name="Auto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840" cy="9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" stroked="t" style="position:absolute;margin-left:-24.1pt;margin-top:-2.5pt;width:485.2pt;height:0.7pt" type="shapetype_32">
              <w10:wrap type="none"/>
              <v:fill o:detectmouseclick="t" on="false"/>
              <v:stroke color="black" weight="9360" joinstyle="round" endcap="flat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jc w:val="center"/>
      <w:rPr>
        <w:rFonts w:ascii="Arial" w:hAnsi="Arial"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lvl w:ilvl="0">
      <w:start w:val="1"/>
      <w:numFmt w:val="decimal"/>
      <w:lvlText w:val="%1."/>
      <w:lvlJc w:val="left"/>
      <w:pPr>
        <w:ind w:left="502" w:hanging="360"/>
      </w:pPr>
      <w:rPr>
        <w:sz w:val="24"/>
        <w:b/>
        <w:szCs w:val="24"/>
        <w:rFonts w:ascii="Times New Roman" w:hAnsi="Times New Roman" w:eastAsia="Calibri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sz w:val="24"/>
        <w:b/>
        <w:rFonts w:ascii="Times New Roman" w:hAnsi="Times New Roman" w:eastAsia="Calibri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sz w:val="24"/>
        <w:b/>
        <w:rFonts w:ascii="Times New Roman" w:hAnsi="Times New Roman" w:eastAsia="Calibri"/>
      </w:rPr>
    </w:lvl>
    <w:lvl w:ilvl="3">
      <w:start w:val="1"/>
      <w:numFmt w:val="decimal"/>
      <w:lvlText w:val="%1.%2.%3.%4."/>
      <w:lvlJc w:val="left"/>
      <w:pPr>
        <w:ind w:left="3415" w:hanging="720"/>
      </w:pPr>
      <w:rPr>
        <w:sz w:val="24"/>
        <w:b/>
        <w:rFonts w:ascii="Times New Roman" w:hAnsi="Times New Roman" w:eastAsia="Calibri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sz w:val="24"/>
        <w:b/>
        <w:rFonts w:ascii="Times New Roman" w:hAnsi="Times New Roman" w:eastAsia="Calibri"/>
      </w:rPr>
    </w:lvl>
    <w:lvl w:ilvl="5">
      <w:start w:val="1"/>
      <w:numFmt w:val="decimal"/>
      <w:lvlText w:val="%1.%2.%3.%4.%5.%6."/>
      <w:lvlJc w:val="left"/>
      <w:pPr>
        <w:ind w:left="5477" w:hanging="1080"/>
      </w:pPr>
      <w:rPr>
        <w:sz w:val="24"/>
        <w:b/>
        <w:rFonts w:ascii="Times New Roman" w:hAnsi="Times New Roman" w:eastAsia="Calibri"/>
      </w:rPr>
    </w:lvl>
    <w:lvl w:ilvl="6">
      <w:start w:val="1"/>
      <w:numFmt w:val="decimal"/>
      <w:lvlText w:val="%1.%2.%3.%4.%5.%6.%7."/>
      <w:lvlJc w:val="left"/>
      <w:pPr>
        <w:ind w:left="6688" w:hanging="1440"/>
      </w:pPr>
      <w:rPr>
        <w:sz w:val="24"/>
        <w:b/>
        <w:rFonts w:ascii="Times New Roman" w:hAnsi="Times New Roman" w:eastAsia="Calibri"/>
      </w:rPr>
    </w:lvl>
    <w:lvl w:ilvl="7">
      <w:start w:val="1"/>
      <w:numFmt w:val="decimal"/>
      <w:lvlText w:val="%1.%2.%3.%4.%5.%6.%7.%8."/>
      <w:lvlJc w:val="left"/>
      <w:pPr>
        <w:ind w:left="7539" w:hanging="1440"/>
      </w:pPr>
      <w:rPr>
        <w:sz w:val="24"/>
        <w:b/>
        <w:rFonts w:ascii="Times New Roman" w:hAnsi="Times New Roman" w:eastAsia="Calibri"/>
      </w:rPr>
    </w:lvl>
    <w:lvl w:ilvl="8">
      <w:start w:val="1"/>
      <w:numFmt w:val="decimal"/>
      <w:lvlText w:val="%1.%2.%3.%4.%5.%6.%7.%8.%9."/>
      <w:lvlJc w:val="left"/>
      <w:pPr>
        <w:ind w:left="8750" w:hanging="1800"/>
      </w:pPr>
      <w:rPr>
        <w:sz w:val="24"/>
        <w:b/>
        <w:rFonts w:ascii="Times New Roman" w:hAnsi="Times New Roman" w:eastAsia="Calibri"/>
      </w:rPr>
    </w:lvl>
  </w:abstractNum>
  <w:abstractNum w:abstractNumId="14">
    <w:lvl w:ilvl="0">
      <w:start w:val="1"/>
      <w:numFmt w:val="decimal"/>
      <w:lvlText w:val="%1."/>
      <w:lvlJc w:val="left"/>
      <w:pPr>
        <w:ind w:left="3131" w:hanging="720"/>
      </w:pPr>
    </w:lvl>
    <w:lvl w:ilvl="1">
      <w:start w:val="6"/>
      <w:numFmt w:val="decimal"/>
      <w:lvlText w:val="%1.%2."/>
      <w:lvlJc w:val="left"/>
      <w:pPr>
        <w:ind w:left="2831" w:hanging="420"/>
      </w:pPr>
    </w:lvl>
    <w:lvl w:ilvl="2">
      <w:start w:val="1"/>
      <w:numFmt w:val="decimal"/>
      <w:lvlText w:val="%1.%2.%3."/>
      <w:lvlJc w:val="left"/>
      <w:pPr>
        <w:ind w:left="3131" w:hanging="720"/>
      </w:pPr>
    </w:lvl>
    <w:lvl w:ilvl="3">
      <w:start w:val="1"/>
      <w:numFmt w:val="decimal"/>
      <w:lvlText w:val="%1.%2.%3.%4."/>
      <w:lvlJc w:val="left"/>
      <w:pPr>
        <w:ind w:left="3131" w:hanging="720"/>
      </w:pPr>
    </w:lvl>
    <w:lvl w:ilvl="4">
      <w:start w:val="1"/>
      <w:numFmt w:val="decimal"/>
      <w:lvlText w:val="%1.%2.%3.%4.%5."/>
      <w:lvlJc w:val="left"/>
      <w:pPr>
        <w:ind w:left="3491" w:hanging="1080"/>
      </w:pPr>
    </w:lvl>
    <w:lvl w:ilvl="5">
      <w:start w:val="1"/>
      <w:numFmt w:val="decimal"/>
      <w:lvlText w:val="%1.%2.%3.%4.%5.%6."/>
      <w:lvlJc w:val="left"/>
      <w:pPr>
        <w:ind w:left="3491" w:hanging="1080"/>
      </w:pPr>
    </w:lvl>
    <w:lvl w:ilvl="6">
      <w:start w:val="1"/>
      <w:numFmt w:val="decimal"/>
      <w:lvlText w:val="%1.%2.%3.%4.%5.%6.%7."/>
      <w:lvlJc w:val="left"/>
      <w:pPr>
        <w:ind w:left="3851" w:hanging="1440"/>
      </w:pPr>
    </w:lvl>
    <w:lvl w:ilvl="7">
      <w:start w:val="1"/>
      <w:numFmt w:val="decimal"/>
      <w:lvlText w:val="%1.%2.%3.%4.%5.%6.%7.%8."/>
      <w:lvlJc w:val="left"/>
      <w:pPr>
        <w:ind w:left="3851" w:hanging="1440"/>
      </w:pPr>
    </w:lvl>
    <w:lvl w:ilvl="8">
      <w:start w:val="1"/>
      <w:numFmt w:val="decimal"/>
      <w:lvlText w:val="%1.%2.%3.%4.%5.%6.%7.%8.%9."/>
      <w:lvlJc w:val="left"/>
      <w:pPr>
        <w:ind w:left="4211" w:hanging="1800"/>
      </w:pPr>
    </w:lvl>
  </w:abstractNum>
  <w:abstractNum w:abstractNumId="15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eastAsia="Lucida Sans Unicode" w:ascii="Times New Roman" w:hAnsi="Times New Roman" w:cs="Times New Roman"/>
      <w:color w:val="auto"/>
      <w:sz w:val="24"/>
      <w:szCs w:val="24"/>
      <w:lang w:val="pl-PL" w:eastAsia="pl-PL" w:bidi="ar-SA"/>
    </w:rPr>
  </w:style>
  <w:style w:type="paragraph" w:styleId="Nagwek2">
    <w:name w:val="Nagłówek 2"/>
    <w:basedOn w:val="Normal"/>
    <w:link w:val="Nagwek2Znak"/>
    <w:qFormat/>
    <w:rsid w:val="00cd44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Nagłówek 3"/>
    <w:basedOn w:val="Normal"/>
    <w:qFormat/>
    <w:rsid w:val="00cd44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FontStyle11" w:customStyle="1">
    <w:name w:val="Font Style11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12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WW8Num8z0" w:customStyle="1">
    <w:name w:val="WW8Num8z0"/>
    <w:qFormat/>
    <w:rPr>
      <w:rFonts w:cs="Times New Roman"/>
      <w:b w:val="false"/>
      <w:i w:val="false"/>
    </w:rPr>
  </w:style>
  <w:style w:type="character" w:styleId="WW8Num8z1" w:customStyle="1">
    <w:name w:val="WW8Num8z1"/>
    <w:qFormat/>
    <w:rPr>
      <w:rFonts w:cs="Times New Roman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Pr>
      <w:rFonts w:cs="Times New Roman"/>
    </w:rPr>
  </w:style>
  <w:style w:type="character" w:styleId="WW8Num11z0" w:customStyle="1">
    <w:name w:val="WW8Num11z0"/>
    <w:qFormat/>
    <w:rPr>
      <w:rFonts w:cs="Times New Roman"/>
    </w:rPr>
  </w:style>
  <w:style w:type="character" w:styleId="WW8Num11z2" w:customStyle="1">
    <w:name w:val="WW8Num11z2"/>
    <w:qFormat/>
    <w:rPr>
      <w:rFonts w:cs="Times New Roman"/>
      <w:b w:val="false"/>
      <w:i w:val="false"/>
    </w:rPr>
  </w:style>
  <w:style w:type="character" w:styleId="WW8Num21z0" w:customStyle="1">
    <w:name w:val="WW8Num21z0"/>
    <w:qFormat/>
    <w:rPr>
      <w:rFonts w:cs="Times New Roman"/>
      <w:b w:val="false"/>
    </w:rPr>
  </w:style>
  <w:style w:type="character" w:styleId="WW8Num21z1" w:customStyle="1">
    <w:name w:val="WW8Num21z1"/>
    <w:qFormat/>
    <w:rPr>
      <w:rFonts w:cs="Times New Roman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cs="Times New Roman"/>
    </w:rPr>
  </w:style>
  <w:style w:type="character" w:styleId="WW8Num23z0" w:customStyle="1">
    <w:name w:val="WW8Num23z0"/>
    <w:qFormat/>
    <w:rPr>
      <w:rFonts w:ascii="Times New Roman" w:hAnsi="Times New Roman" w:cs="Times New Roman"/>
      <w:b w:val="false"/>
    </w:rPr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22z0" w:customStyle="1">
    <w:name w:val="WW8Num22z0"/>
    <w:qFormat/>
    <w:rPr>
      <w:rFonts w:cs="Times New Roman"/>
      <w:b w:val="false"/>
    </w:rPr>
  </w:style>
  <w:style w:type="character" w:styleId="WW8Num22z1" w:customStyle="1">
    <w:name w:val="WW8Num22z1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15z0" w:customStyle="1">
    <w:name w:val="WW8Num15z0"/>
    <w:qFormat/>
    <w:rPr>
      <w:rFonts w:cs="Times New Roman"/>
    </w:rPr>
  </w:style>
  <w:style w:type="character" w:styleId="Domylnaczcionkaakapitu2" w:customStyle="1">
    <w:name w:val="Domyślna czcionka akapitu2"/>
    <w:qFormat/>
    <w:rPr/>
  </w:style>
  <w:style w:type="character" w:styleId="Teksttreci" w:customStyle="1">
    <w:name w:val="Tekst treści_"/>
    <w:qFormat/>
    <w:rPr>
      <w:rFonts w:ascii="Batang" w:hAnsi="Batang" w:eastAsia="Batang" w:cs="Batang"/>
      <w:spacing w:val="0"/>
      <w:sz w:val="20"/>
      <w:szCs w:val="20"/>
    </w:rPr>
  </w:style>
  <w:style w:type="character" w:styleId="TeksttreciPogrubienie" w:customStyle="1">
    <w:name w:val="Tekst treści + Pogrubienie"/>
    <w:qFormat/>
    <w:rPr>
      <w:rFonts w:ascii="Batang" w:hAnsi="Batang" w:eastAsia="Batang" w:cs="Batang"/>
      <w:b/>
      <w:bCs/>
      <w:spacing w:val="0"/>
      <w:sz w:val="20"/>
      <w:szCs w:val="20"/>
    </w:rPr>
  </w:style>
  <w:style w:type="character" w:styleId="Nagwek1" w:customStyle="1">
    <w:name w:val="Nagłówek #1_"/>
    <w:qFormat/>
    <w:rPr>
      <w:rFonts w:ascii="Batang" w:hAnsi="Batang" w:eastAsia="Batang" w:cs="Batang"/>
      <w:spacing w:val="0"/>
      <w:sz w:val="20"/>
      <w:szCs w:val="20"/>
    </w:rPr>
  </w:style>
  <w:style w:type="character" w:styleId="Nagwek11" w:customStyle="1">
    <w:name w:val="Nagłówek #1"/>
    <w:basedOn w:val="Nagwek1"/>
    <w:qFormat/>
    <w:rPr>
      <w:rFonts w:ascii="Batang" w:hAnsi="Batang" w:eastAsia="Batang" w:cs="Batang"/>
      <w:spacing w:val="0"/>
      <w:sz w:val="20"/>
      <w:szCs w:val="20"/>
    </w:rPr>
  </w:style>
  <w:style w:type="character" w:styleId="Nagwek1Odstpy1pt" w:customStyle="1">
    <w:name w:val="Nagłówek #1 + Odstępy 1 pt"/>
    <w:qFormat/>
    <w:rPr>
      <w:rFonts w:ascii="Batang" w:hAnsi="Batang" w:eastAsia="Batang" w:cs="Batang"/>
      <w:spacing w:val="20"/>
      <w:sz w:val="20"/>
      <w:szCs w:val="20"/>
    </w:rPr>
  </w:style>
  <w:style w:type="character" w:styleId="TekstdymkaZnak" w:customStyle="1">
    <w:name w:val="Tekst dymka Znak"/>
    <w:link w:val="Tekstdymka"/>
    <w:uiPriority w:val="99"/>
    <w:semiHidden/>
    <w:qFormat/>
    <w:rsid w:val="00007311"/>
    <w:rPr>
      <w:rFonts w:ascii="Segoe UI" w:hAnsi="Segoe UI" w:eastAsia="Lucida Sans Unicode" w:cs="Segoe UI"/>
      <w:sz w:val="18"/>
      <w:szCs w:val="18"/>
    </w:rPr>
  </w:style>
  <w:style w:type="character" w:styleId="Nagwek2Znak" w:customStyle="1">
    <w:name w:val="Nagłówek 2 Znak"/>
    <w:basedOn w:val="DefaultParagraphFont"/>
    <w:link w:val="Nagwek20"/>
    <w:qFormat/>
    <w:rsid w:val="004e50d3"/>
    <w:rPr>
      <w:rFonts w:ascii="Arial" w:hAnsi="Arial" w:eastAsia="Lucida Sans Unicode" w:cs="Arial"/>
      <w:b/>
      <w:bCs/>
      <w:i/>
      <w:iCs/>
      <w:sz w:val="28"/>
      <w:szCs w:val="28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/>
      <w:b/>
      <w:sz w:val="24"/>
    </w:rPr>
  </w:style>
  <w:style w:type="character" w:styleId="ListLabel5">
    <w:name w:val="ListLabel 5"/>
    <w:qFormat/>
    <w:rPr>
      <w:rFonts w:ascii="Times New Roman" w:hAnsi="Times New Roman" w:eastAsia="Calibri" w:cs="Times New Roman"/>
      <w:b/>
      <w:sz w:val="24"/>
      <w:szCs w:val="24"/>
    </w:rPr>
  </w:style>
  <w:style w:type="character" w:styleId="ListLabel6">
    <w:name w:val="ListLabel 6"/>
    <w:qFormat/>
    <w:rPr>
      <w:rFonts w:ascii="Times New Roman" w:hAnsi="Times New Roman" w:eastAsia="Calibri"/>
      <w:b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semiHidden/>
    <w:pPr>
      <w:spacing w:before="0" w:after="120"/>
    </w:pPr>
    <w:rPr/>
  </w:style>
  <w:style w:type="paragraph" w:styleId="Lista">
    <w:name w:val="Lista"/>
    <w:basedOn w:val="Tretekstu"/>
    <w:semiHidden/>
    <w:pPr/>
    <w:rPr>
      <w:rFonts w:cs="Tahom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12" w:customStyle="1">
    <w:name w:val="Nagłówek1"/>
    <w:basedOn w:val="Normal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tyle31" w:customStyle="1">
    <w:name w:val="Style3"/>
    <w:basedOn w:val="Normal"/>
    <w:qFormat/>
    <w:pPr>
      <w:spacing w:lineRule="exact" w:line="250"/>
      <w:jc w:val="both"/>
    </w:pPr>
    <w:rPr/>
  </w:style>
  <w:style w:type="paragraph" w:styleId="Style61" w:customStyle="1">
    <w:name w:val="Style6"/>
    <w:basedOn w:val="Normal"/>
    <w:qFormat/>
    <w:pPr>
      <w:jc w:val="both"/>
    </w:pPr>
    <w:rPr/>
  </w:style>
  <w:style w:type="paragraph" w:styleId="Style51" w:customStyle="1">
    <w:name w:val="Style5"/>
    <w:basedOn w:val="Normal"/>
    <w:qFormat/>
    <w:pPr>
      <w:spacing w:lineRule="exact" w:line="312"/>
      <w:ind w:firstLine="235"/>
    </w:pPr>
    <w:rPr/>
  </w:style>
  <w:style w:type="paragraph" w:styleId="Style12" w:customStyle="1">
    <w:name w:val="Style1"/>
    <w:basedOn w:val="Normal"/>
    <w:qFormat/>
    <w:pPr>
      <w:spacing w:lineRule="exact" w:line="250"/>
      <w:jc w:val="both"/>
    </w:pPr>
    <w:rPr/>
  </w:style>
  <w:style w:type="paragraph" w:styleId="Style41" w:customStyle="1">
    <w:name w:val="Style4"/>
    <w:basedOn w:val="Normal"/>
    <w:qFormat/>
    <w:pPr>
      <w:spacing w:lineRule="exact" w:line="254"/>
      <w:ind w:hanging="350"/>
      <w:jc w:val="both"/>
    </w:pPr>
    <w:rPr/>
  </w:style>
  <w:style w:type="paragraph" w:styleId="Style21" w:customStyle="1">
    <w:name w:val="Style2"/>
    <w:basedOn w:val="Normal"/>
    <w:qFormat/>
    <w:pPr>
      <w:spacing w:lineRule="exact" w:line="253"/>
      <w:ind w:hanging="350"/>
      <w:jc w:val="both"/>
    </w:pPr>
    <w:rPr/>
  </w:style>
  <w:style w:type="paragraph" w:styleId="Teksttreci1" w:customStyle="1">
    <w:name w:val="Tekst treści"/>
    <w:basedOn w:val="Normal"/>
    <w:qFormat/>
    <w:pPr>
      <w:spacing w:lineRule="exact" w:line="269" w:before="900" w:after="0"/>
      <w:ind w:hanging="320"/>
      <w:jc w:val="both"/>
    </w:pPr>
    <w:rPr>
      <w:rFonts w:ascii="Batang" w:hAnsi="Batang" w:eastAsia="Batang" w:cs="Batang"/>
      <w:sz w:val="20"/>
      <w:szCs w:val="20"/>
    </w:rPr>
  </w:style>
  <w:style w:type="paragraph" w:styleId="Teksttreci3" w:customStyle="1">
    <w:name w:val="Tekst treści (3)"/>
    <w:basedOn w:val="Normal"/>
    <w:qFormat/>
    <w:pPr>
      <w:spacing w:lineRule="auto"/>
    </w:pPr>
    <w:rPr>
      <w:rFonts w:eastAsia="Times New Roman"/>
      <w:b/>
      <w:bCs/>
      <w:sz w:val="21"/>
      <w:szCs w:val="21"/>
    </w:rPr>
  </w:style>
  <w:style w:type="paragraph" w:styleId="Nagwek13" w:customStyle="1">
    <w:name w:val="Nagłówek #1"/>
    <w:basedOn w:val="Normal"/>
    <w:qFormat/>
    <w:pPr>
      <w:spacing w:lineRule="exact" w:line="269" w:before="240" w:after="0"/>
      <w:ind w:left="0" w:hanging="0"/>
      <w:outlineLvl w:val="0"/>
    </w:pPr>
    <w:rPr>
      <w:rFonts w:ascii="Batang" w:hAnsi="Batang" w:eastAsia="Batang" w:cs="Batang"/>
      <w:sz w:val="20"/>
      <w:szCs w:val="20"/>
    </w:rPr>
  </w:style>
  <w:style w:type="paragraph" w:styleId="Nagwek21" w:customStyle="1">
    <w:name w:val="Nagłówek #2"/>
    <w:basedOn w:val="Normal"/>
    <w:qFormat/>
    <w:pPr>
      <w:spacing w:lineRule="auto" w:before="0" w:after="900"/>
      <w:ind w:left="0" w:hanging="320"/>
      <w:outlineLvl w:val="1"/>
    </w:pPr>
    <w:rPr>
      <w:rFonts w:ascii="Batang" w:hAnsi="Batang" w:eastAsia="Batang" w:cs="Batang"/>
      <w:b/>
      <w:bCs/>
      <w:sz w:val="20"/>
      <w:szCs w:val="20"/>
    </w:rPr>
  </w:style>
  <w:style w:type="paragraph" w:styleId="Gwka">
    <w:name w:val="Główka"/>
    <w:basedOn w:val="Normal"/>
    <w:rsid w:val="00ab351b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rsid w:val="00ab351b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57ba0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07311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6457e8"/>
    <w:pPr>
      <w:widowControl/>
      <w:bidi w:val="0"/>
      <w:jc w:val="left"/>
    </w:pPr>
    <w:rPr>
      <w:rFonts w:ascii="Arial" w:hAnsi="Arial" w:cs="Arial" w:eastAsia="Times New Roman"/>
      <w:color w:val="00000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LibreOffice/5.0.5.2$Linux_X86_64 LibreOffice_project/00m0$Build-2</Application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2016-03-16T13:23:00Z</dcterms:created>
  <dc:creator>URZĄD MIEJSKI W PRUSZKOWIE</dc:creator>
  <dc:language>pl-PL</dc:language>
  <cp:lastModifiedBy>Konrad Makowski</cp:lastModifiedBy>
  <cp:lastPrinted>2016-01-28T12:40:00Z</cp:lastPrinted>
  <dcterms:modified xsi:type="dcterms:W3CDTF">2016-03-17T15:07:44Z</dcterms:modified>
  <cp:revision>3</cp:revision>
  <dc:title>Umowa użyczenia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